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06" w:rsidRPr="007E7F71" w:rsidRDefault="007E7F71" w:rsidP="004B76D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r-Latn-CS"/>
        </w:rPr>
        <w:t>IZJAVA</w:t>
      </w:r>
    </w:p>
    <w:p w:rsidR="00A77B06" w:rsidRPr="007E7F71" w:rsidRDefault="007E7F71" w:rsidP="004B76D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UNIJE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8"/>
          <w:szCs w:val="28"/>
          <w:lang w:val="sr-Latn-CS"/>
        </w:rPr>
      </w:pP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1.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Ovlašćeni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Vlada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Obrađivač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: 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Ministarstvo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rudarstva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energetike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Naziv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Predlog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izmeni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privremenom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uređivanju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načina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naplate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takse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javni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medijski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b/>
          <w:noProof/>
          <w:sz w:val="24"/>
          <w:szCs w:val="24"/>
          <w:lang w:val="sr-Latn-CS"/>
        </w:rPr>
        <w:t>servis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ab/>
        <w:t>Draft Law on Amending the Law on temporary editing modes charging fees for public media service</w:t>
      </w:r>
      <w:r w:rsidRPr="007E7F71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3.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stabilizaciji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pridruživanju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Evropskih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zajednica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članica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83/08) (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Sporazum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)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Odredba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normativnu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saržinu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>-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Prelazni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zakonodavstva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>-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Ocena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ispunjenosti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proizlaze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>-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delimično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ispunjavanje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neispunjavanje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proizlaze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Sporazuma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>-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Veza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Nacionalnim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usvajanje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tekovina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>-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4.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primarnih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ocene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- 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sekundarnih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ocene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njima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>-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Navođenje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-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delimičnu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neusklađenost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A77B06" w:rsidRPr="007E7F71" w:rsidRDefault="00A77B06" w:rsidP="004B76D6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</w:p>
    <w:p w:rsidR="00A77B06" w:rsidRPr="007E7F71" w:rsidRDefault="00A77B06" w:rsidP="004B76D6">
      <w:pPr>
        <w:tabs>
          <w:tab w:val="left" w:pos="1172"/>
        </w:tabs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postizanje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potpune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A77B06" w:rsidRPr="007E7F71" w:rsidRDefault="00A77B06" w:rsidP="004B76D6">
      <w:pPr>
        <w:tabs>
          <w:tab w:val="left" w:pos="1172"/>
        </w:tabs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5.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odgovarajuće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materiji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reguliše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odgovarajući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sekundarni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izvori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kojima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usklađenost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obrazložiti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tu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činjenicu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popunjavati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Tabelu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Tabelu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popunjavati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domaćim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sekundarnog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nekog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proizilazi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sekundarnog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strateške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procene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uticaja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sprovedena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4.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Direktive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2001/42/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EZ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direktive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).  </w:t>
      </w:r>
    </w:p>
    <w:p w:rsidR="00A77B06" w:rsidRPr="007E7F71" w:rsidRDefault="007E7F71" w:rsidP="004B76D6">
      <w:pPr>
        <w:spacing w:after="0" w:line="276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</w:p>
    <w:p w:rsidR="00A77B06" w:rsidRPr="007E7F71" w:rsidRDefault="00A77B06" w:rsidP="004B76D6">
      <w:pPr>
        <w:spacing w:after="0" w:line="276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6.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izvori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prevedeni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srpski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jezik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Ne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7.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preveden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neki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jezik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>?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Ne</w:t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A77B06" w:rsidRPr="007E7F71" w:rsidRDefault="00A77B06" w:rsidP="004B76D6">
      <w:pPr>
        <w:spacing w:after="0" w:line="276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7E7F71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8.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Saradnja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Evropskom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unijom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konsultanata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propisa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E7F71"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</w:p>
    <w:p w:rsidR="00A77B06" w:rsidRPr="007E7F71" w:rsidRDefault="007E7F71" w:rsidP="004B76D6">
      <w:pPr>
        <w:spacing w:after="0" w:line="240" w:lineRule="auto"/>
        <w:ind w:firstLine="144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konsultanata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izradi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Predloga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A77B06" w:rsidRPr="007E7F71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A77B06" w:rsidRPr="007E7F71" w:rsidRDefault="00A77B06" w:rsidP="004B76D6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sectPr w:rsidR="00A77B06" w:rsidRPr="007E7F71" w:rsidSect="00EA6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B1" w:rsidRDefault="00C640B1">
      <w:r>
        <w:separator/>
      </w:r>
    </w:p>
  </w:endnote>
  <w:endnote w:type="continuationSeparator" w:id="0">
    <w:p w:rsidR="00C640B1" w:rsidRDefault="00C6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06" w:rsidRDefault="00A77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06" w:rsidRDefault="00A77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06" w:rsidRDefault="00A7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B1" w:rsidRDefault="00C640B1">
      <w:r>
        <w:separator/>
      </w:r>
    </w:p>
  </w:footnote>
  <w:footnote w:type="continuationSeparator" w:id="0">
    <w:p w:rsidR="00C640B1" w:rsidRDefault="00C6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06" w:rsidRDefault="00A77B06" w:rsidP="006E6D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B06" w:rsidRDefault="00A77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06" w:rsidRPr="007E7F71" w:rsidRDefault="00A77B06" w:rsidP="006E6D2F">
    <w:pPr>
      <w:pStyle w:val="Header"/>
      <w:framePr w:wrap="around" w:vAnchor="text" w:hAnchor="margin" w:xAlign="center" w:y="1"/>
      <w:rPr>
        <w:rStyle w:val="PageNumber"/>
        <w:noProof/>
        <w:lang w:val="sr-Latn-CS"/>
      </w:rPr>
    </w:pPr>
    <w:r w:rsidRPr="007E7F71">
      <w:rPr>
        <w:rStyle w:val="PageNumber"/>
        <w:noProof/>
        <w:lang w:val="sr-Latn-CS"/>
      </w:rPr>
      <w:fldChar w:fldCharType="begin"/>
    </w:r>
    <w:r w:rsidRPr="007E7F71">
      <w:rPr>
        <w:rStyle w:val="PageNumber"/>
        <w:noProof/>
        <w:lang w:val="sr-Latn-CS"/>
      </w:rPr>
      <w:instrText xml:space="preserve">PAGE  </w:instrText>
    </w:r>
    <w:r w:rsidRPr="007E7F71">
      <w:rPr>
        <w:rStyle w:val="PageNumber"/>
        <w:noProof/>
        <w:lang w:val="sr-Latn-CS"/>
      </w:rPr>
      <w:fldChar w:fldCharType="separate"/>
    </w:r>
    <w:r w:rsidR="007E7F71">
      <w:rPr>
        <w:rStyle w:val="PageNumber"/>
        <w:noProof/>
        <w:lang w:val="sr-Latn-CS"/>
      </w:rPr>
      <w:t>2</w:t>
    </w:r>
    <w:r w:rsidRPr="007E7F71">
      <w:rPr>
        <w:rStyle w:val="PageNumber"/>
        <w:noProof/>
        <w:lang w:val="sr-Latn-CS"/>
      </w:rPr>
      <w:fldChar w:fldCharType="end"/>
    </w:r>
  </w:p>
  <w:p w:rsidR="00A77B06" w:rsidRPr="007E7F71" w:rsidRDefault="00A77B06">
    <w:pPr>
      <w:pStyle w:val="Header"/>
      <w:rPr>
        <w:noProof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06" w:rsidRDefault="00A77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66151"/>
    <w:multiLevelType w:val="hybridMultilevel"/>
    <w:tmpl w:val="7A768D9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C29590A"/>
    <w:multiLevelType w:val="hybridMultilevel"/>
    <w:tmpl w:val="78C0F4FA"/>
    <w:lvl w:ilvl="0" w:tplc="168AED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D6"/>
    <w:rsid w:val="000E5A2E"/>
    <w:rsid w:val="00462028"/>
    <w:rsid w:val="004B76D6"/>
    <w:rsid w:val="0063121E"/>
    <w:rsid w:val="006E6D2F"/>
    <w:rsid w:val="00786590"/>
    <w:rsid w:val="007C3016"/>
    <w:rsid w:val="007E7F71"/>
    <w:rsid w:val="00856AC3"/>
    <w:rsid w:val="00962355"/>
    <w:rsid w:val="00A77B06"/>
    <w:rsid w:val="00B143C9"/>
    <w:rsid w:val="00B947B8"/>
    <w:rsid w:val="00C640B1"/>
    <w:rsid w:val="00CA106A"/>
    <w:rsid w:val="00D12C1B"/>
    <w:rsid w:val="00D17C87"/>
    <w:rsid w:val="00D35719"/>
    <w:rsid w:val="00E214DD"/>
    <w:rsid w:val="00E304A9"/>
    <w:rsid w:val="00EA689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C63D21-5A6C-4A19-888E-5FB01FF3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4B76D6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4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F6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78D"/>
  </w:style>
  <w:style w:type="paragraph" w:styleId="Footer">
    <w:name w:val="footer"/>
    <w:basedOn w:val="Normal"/>
    <w:link w:val="FooterChar"/>
    <w:uiPriority w:val="99"/>
    <w:rsid w:val="00FF6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78D"/>
  </w:style>
  <w:style w:type="character" w:styleId="PageNumber">
    <w:name w:val="page number"/>
    <w:basedOn w:val="DefaultParagraphFont"/>
    <w:uiPriority w:val="99"/>
    <w:rsid w:val="00FF62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Kocic</dc:creator>
  <cp:keywords/>
  <dc:description/>
  <cp:lastModifiedBy>Bojan Grgic</cp:lastModifiedBy>
  <cp:revision>2</cp:revision>
  <cp:lastPrinted>2016-12-15T09:07:00Z</cp:lastPrinted>
  <dcterms:created xsi:type="dcterms:W3CDTF">2016-12-20T08:41:00Z</dcterms:created>
  <dcterms:modified xsi:type="dcterms:W3CDTF">2016-12-20T08:41:00Z</dcterms:modified>
</cp:coreProperties>
</file>